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F2874F" w14:textId="3BA347CB" w:rsidR="00D94F04" w:rsidRPr="00605C5A" w:rsidRDefault="0034639B" w:rsidP="009F1E9D">
      <w:pPr>
        <w:jc w:val="both"/>
        <w:rPr>
          <w:b/>
          <w:bCs/>
          <w:sz w:val="20"/>
        </w:rPr>
      </w:pPr>
      <w:proofErr w:type="spellStart"/>
      <w:r w:rsidRPr="0034639B">
        <w:rPr>
          <w:b/>
          <w:sz w:val="20"/>
        </w:rPr>
        <w:t>Verquvo</w:t>
      </w:r>
      <w:proofErr w:type="spellEnd"/>
      <w:r w:rsidRPr="0034639B">
        <w:rPr>
          <w:rFonts w:hint="eastAsia"/>
          <w:b/>
          <w:sz w:val="20"/>
        </w:rPr>
        <w:t>™</w:t>
      </w:r>
      <w:r w:rsidR="006B769F">
        <w:rPr>
          <w:b/>
          <w:sz w:val="20"/>
        </w:rPr>
        <w:t>,</w:t>
      </w:r>
      <w:r w:rsidR="00DA2D60">
        <w:rPr>
          <w:b/>
          <w:sz w:val="20"/>
        </w:rPr>
        <w:t xml:space="preserve"> </w:t>
      </w:r>
      <w:r w:rsidR="006B769F" w:rsidRPr="006B769F">
        <w:rPr>
          <w:b/>
          <w:sz w:val="20"/>
        </w:rPr>
        <w:t>Vericiguat</w:t>
      </w:r>
      <w:r w:rsidR="006B769F">
        <w:rPr>
          <w:b/>
          <w:sz w:val="20"/>
        </w:rPr>
        <w:t xml:space="preserve"> </w:t>
      </w:r>
      <w:r w:rsidRPr="0034639B">
        <w:rPr>
          <w:b/>
          <w:sz w:val="20"/>
        </w:rPr>
        <w:t>2.5mg</w:t>
      </w:r>
      <w:r w:rsidR="006B769F">
        <w:rPr>
          <w:b/>
          <w:sz w:val="20"/>
        </w:rPr>
        <w:t>, 5mg and 10mg</w:t>
      </w:r>
      <w:r w:rsidRPr="0034639B">
        <w:rPr>
          <w:b/>
          <w:sz w:val="20"/>
        </w:rPr>
        <w:t xml:space="preserve"> film-coated tablets</w:t>
      </w:r>
      <w:r w:rsidR="00A93265" w:rsidRPr="00A93265">
        <w:rPr>
          <w:sz w:val="20"/>
        </w:rPr>
        <w:t xml:space="preserve">. Approved name(s) of the active ingredient(s): Each film-coated tablet contains </w:t>
      </w:r>
      <w:r w:rsidR="001B4641">
        <w:rPr>
          <w:sz w:val="20"/>
        </w:rPr>
        <w:t>2.5</w:t>
      </w:r>
      <w:r w:rsidR="00A93265" w:rsidRPr="00A93265">
        <w:rPr>
          <w:sz w:val="20"/>
        </w:rPr>
        <w:t xml:space="preserve"> mg</w:t>
      </w:r>
      <w:r w:rsidR="001B4641">
        <w:rPr>
          <w:sz w:val="20"/>
        </w:rPr>
        <w:t>, 5mg</w:t>
      </w:r>
      <w:r w:rsidR="00A93265" w:rsidRPr="00A93265">
        <w:rPr>
          <w:sz w:val="20"/>
        </w:rPr>
        <w:t xml:space="preserve"> and </w:t>
      </w:r>
      <w:r w:rsidR="001B4641">
        <w:rPr>
          <w:sz w:val="20"/>
        </w:rPr>
        <w:t>1</w:t>
      </w:r>
      <w:r w:rsidR="00A93265" w:rsidRPr="00A93265">
        <w:rPr>
          <w:sz w:val="20"/>
        </w:rPr>
        <w:t xml:space="preserve">0mg </w:t>
      </w:r>
      <w:r w:rsidR="001B4641" w:rsidRPr="001B4641">
        <w:rPr>
          <w:sz w:val="20"/>
        </w:rPr>
        <w:t>Vericiguat micronize</w:t>
      </w:r>
      <w:r w:rsidR="001B4641">
        <w:rPr>
          <w:sz w:val="20"/>
        </w:rPr>
        <w:t>d</w:t>
      </w:r>
      <w:r w:rsidR="00D35F89">
        <w:rPr>
          <w:sz w:val="20"/>
        </w:rPr>
        <w:t>, respectively</w:t>
      </w:r>
      <w:r w:rsidR="00A93265" w:rsidRPr="00A93265">
        <w:rPr>
          <w:sz w:val="20"/>
        </w:rPr>
        <w:t xml:space="preserve">. </w:t>
      </w:r>
      <w:r w:rsidR="00DA2D60" w:rsidRPr="00A93265">
        <w:rPr>
          <w:sz w:val="20"/>
        </w:rPr>
        <w:t>Excipients</w:t>
      </w:r>
      <w:r w:rsidR="00A93265" w:rsidRPr="00A93265">
        <w:rPr>
          <w:sz w:val="20"/>
        </w:rPr>
        <w:t>:</w:t>
      </w:r>
      <w:r w:rsidR="001B4641" w:rsidRPr="001B4641">
        <w:rPr>
          <w:rFonts w:ascii="MyriadPro-Regular" w:eastAsia="MyriadPro-Regular" w:cs="MyriadPro-Regular"/>
          <w:color w:val="020202"/>
          <w:sz w:val="15"/>
          <w:szCs w:val="15"/>
        </w:rPr>
        <w:t xml:space="preserve"> </w:t>
      </w:r>
      <w:r w:rsidR="001B4641" w:rsidRPr="001B4641">
        <w:rPr>
          <w:sz w:val="20"/>
        </w:rPr>
        <w:t xml:space="preserve">Cellulose </w:t>
      </w:r>
      <w:proofErr w:type="spellStart"/>
      <w:proofErr w:type="gramStart"/>
      <w:r w:rsidR="001B4641" w:rsidRPr="001B4641">
        <w:rPr>
          <w:sz w:val="20"/>
        </w:rPr>
        <w:t>microcrystalline</w:t>
      </w:r>
      <w:r w:rsidR="001B4641">
        <w:rPr>
          <w:sz w:val="20"/>
        </w:rPr>
        <w:t>,</w:t>
      </w:r>
      <w:r w:rsidR="001B4641" w:rsidRPr="001B4641">
        <w:rPr>
          <w:sz w:val="20"/>
        </w:rPr>
        <w:t>Croscarmellose</w:t>
      </w:r>
      <w:proofErr w:type="spellEnd"/>
      <w:proofErr w:type="gramEnd"/>
      <w:r w:rsidR="001B4641" w:rsidRPr="001B4641">
        <w:rPr>
          <w:sz w:val="20"/>
        </w:rPr>
        <w:t xml:space="preserve"> sodium</w:t>
      </w:r>
      <w:r w:rsidR="001B4641">
        <w:rPr>
          <w:sz w:val="20"/>
        </w:rPr>
        <w:t xml:space="preserve">, </w:t>
      </w:r>
      <w:r w:rsidR="001B4641" w:rsidRPr="001B4641">
        <w:rPr>
          <w:sz w:val="20"/>
        </w:rPr>
        <w:t>Hypromellose</w:t>
      </w:r>
      <w:r w:rsidR="001B4641">
        <w:rPr>
          <w:sz w:val="20"/>
        </w:rPr>
        <w:t xml:space="preserve">, </w:t>
      </w:r>
      <w:r w:rsidR="001B4641" w:rsidRPr="001B4641">
        <w:rPr>
          <w:sz w:val="20"/>
        </w:rPr>
        <w:t>Lactose monohydrate</w:t>
      </w:r>
      <w:r w:rsidR="001B4641">
        <w:rPr>
          <w:sz w:val="20"/>
        </w:rPr>
        <w:t xml:space="preserve">, </w:t>
      </w:r>
      <w:r w:rsidR="001B4641" w:rsidRPr="001B4641">
        <w:rPr>
          <w:sz w:val="20"/>
        </w:rPr>
        <w:t>Magnesium stearate</w:t>
      </w:r>
      <w:r w:rsidR="001B4641">
        <w:rPr>
          <w:sz w:val="20"/>
        </w:rPr>
        <w:t xml:space="preserve">, </w:t>
      </w:r>
      <w:r w:rsidR="001B4641" w:rsidRPr="001B4641">
        <w:rPr>
          <w:sz w:val="20"/>
        </w:rPr>
        <w:t xml:space="preserve">Sodium </w:t>
      </w:r>
      <w:proofErr w:type="spellStart"/>
      <w:r w:rsidR="001B4641" w:rsidRPr="001B4641">
        <w:rPr>
          <w:sz w:val="20"/>
        </w:rPr>
        <w:t>laurilsulfate</w:t>
      </w:r>
      <w:proofErr w:type="spellEnd"/>
      <w:r w:rsidR="00A93265" w:rsidRPr="00A93265">
        <w:rPr>
          <w:sz w:val="20"/>
        </w:rPr>
        <w:t xml:space="preserve">. </w:t>
      </w:r>
      <w:r w:rsidR="00A93265" w:rsidRPr="00A93265">
        <w:rPr>
          <w:b/>
          <w:bCs/>
          <w:sz w:val="20"/>
        </w:rPr>
        <w:t xml:space="preserve">Indication: </w:t>
      </w:r>
      <w:r w:rsidR="00A93265" w:rsidRPr="00A93265">
        <w:rPr>
          <w:sz w:val="20"/>
        </w:rPr>
        <w:t>1.</w:t>
      </w:r>
      <w:r w:rsidR="001B4641" w:rsidRPr="001B4641">
        <w:rPr>
          <w:rFonts w:ascii="MyriadPro-Regular" w:eastAsia="MyriadPro-Regular" w:cs="MyriadPro-Regular"/>
          <w:color w:val="020202"/>
          <w:sz w:val="15"/>
          <w:szCs w:val="15"/>
        </w:rPr>
        <w:t xml:space="preserve"> </w:t>
      </w:r>
      <w:r w:rsidR="001B4641" w:rsidRPr="001B4641">
        <w:rPr>
          <w:sz w:val="20"/>
        </w:rPr>
        <w:t>Vericiguat is indicated to reduce the risk of cardiovascular death and heart failure (HF) hospitalization following</w:t>
      </w:r>
      <w:r w:rsidR="001B4641">
        <w:rPr>
          <w:sz w:val="20"/>
        </w:rPr>
        <w:t xml:space="preserve"> </w:t>
      </w:r>
      <w:r w:rsidR="00D35F89">
        <w:rPr>
          <w:sz w:val="20"/>
        </w:rPr>
        <w:t xml:space="preserve">a </w:t>
      </w:r>
      <w:r w:rsidR="001B4641" w:rsidRPr="001B4641">
        <w:rPr>
          <w:sz w:val="20"/>
        </w:rPr>
        <w:t>hospitalization for heart failure or need for outpatient IV diuretics, in adults with symptomatic chronic HF and ejection</w:t>
      </w:r>
      <w:r w:rsidR="001B4641">
        <w:rPr>
          <w:sz w:val="20"/>
        </w:rPr>
        <w:t xml:space="preserve"> </w:t>
      </w:r>
      <w:r w:rsidR="001B4641" w:rsidRPr="001B4641">
        <w:rPr>
          <w:sz w:val="20"/>
        </w:rPr>
        <w:t>fraction less than 45%</w:t>
      </w:r>
      <w:r w:rsidR="00A93265" w:rsidRPr="00A93265">
        <w:rPr>
          <w:sz w:val="20"/>
        </w:rPr>
        <w:t xml:space="preserve">. </w:t>
      </w:r>
      <w:r w:rsidR="00A93265" w:rsidRPr="00A93265">
        <w:rPr>
          <w:b/>
          <w:bCs/>
          <w:sz w:val="20"/>
        </w:rPr>
        <w:t>Dosage and method of administration:</w:t>
      </w:r>
      <w:r w:rsidR="001B4641" w:rsidRPr="001B4641">
        <w:t xml:space="preserve"> </w:t>
      </w:r>
      <w:r w:rsidR="006D1818" w:rsidRPr="006D1818">
        <w:rPr>
          <w:sz w:val="20"/>
        </w:rPr>
        <w:t>The recommended starting dose of VERQUVO is 5 mg orally once daily, taken with food.</w:t>
      </w:r>
      <w:r w:rsidR="004206CE">
        <w:rPr>
          <w:sz w:val="20"/>
        </w:rPr>
        <w:t xml:space="preserve"> </w:t>
      </w:r>
      <w:r w:rsidR="006D1818" w:rsidRPr="006D1818">
        <w:rPr>
          <w:sz w:val="20"/>
        </w:rPr>
        <w:t>Double the dose of VERQUVO after approximately every 2 weeks to reach the target maintenance dose of 10 mg once daily, as tolerated by the patient.</w:t>
      </w:r>
      <w:r w:rsidR="004206CE">
        <w:rPr>
          <w:sz w:val="20"/>
        </w:rPr>
        <w:t xml:space="preserve"> </w:t>
      </w:r>
      <w:r w:rsidR="006D1818" w:rsidRPr="006D1818">
        <w:rPr>
          <w:sz w:val="20"/>
        </w:rPr>
        <w:t xml:space="preserve">For patients with symptomatic hypotension within the past 4 weeks, the recommended starting dose of VERQUVO is 2.5 mg orally once daily with food. Double the dose approximately every 2 weeks to reach the target maintenance dose of 10 mg once daily, as tolerated by the </w:t>
      </w:r>
      <w:proofErr w:type="gramStart"/>
      <w:r w:rsidR="006D1818" w:rsidRPr="006D1818">
        <w:rPr>
          <w:sz w:val="20"/>
        </w:rPr>
        <w:t>patient.</w:t>
      </w:r>
      <w:r w:rsidR="001B4641" w:rsidRPr="001B4641">
        <w:rPr>
          <w:sz w:val="20"/>
        </w:rPr>
        <w:t>.</w:t>
      </w:r>
      <w:proofErr w:type="gramEnd"/>
      <w:r w:rsidR="001B4641">
        <w:rPr>
          <w:sz w:val="20"/>
        </w:rPr>
        <w:t xml:space="preserve"> </w:t>
      </w:r>
      <w:r w:rsidR="001B4641" w:rsidRPr="001B4641">
        <w:rPr>
          <w:sz w:val="20"/>
        </w:rPr>
        <w:t>For patients who are unable to swallow whole tablets, VERQUVO may be crushed and mixed with water immediately</w:t>
      </w:r>
      <w:r w:rsidR="001B4641">
        <w:rPr>
          <w:sz w:val="20"/>
        </w:rPr>
        <w:t xml:space="preserve"> </w:t>
      </w:r>
      <w:r w:rsidR="001B4641" w:rsidRPr="001B4641">
        <w:rPr>
          <w:sz w:val="20"/>
        </w:rPr>
        <w:t>before administration.</w:t>
      </w:r>
      <w:r w:rsidR="001B4641">
        <w:rPr>
          <w:sz w:val="20"/>
        </w:rPr>
        <w:t xml:space="preserve"> </w:t>
      </w:r>
      <w:r w:rsidR="001B4641" w:rsidRPr="001B4641">
        <w:rPr>
          <w:sz w:val="20"/>
        </w:rPr>
        <w:t xml:space="preserve">VERQUVO is administered in conjunction with other heart failure </w:t>
      </w:r>
      <w:proofErr w:type="spellStart"/>
      <w:proofErr w:type="gramStart"/>
      <w:r w:rsidR="001B4641" w:rsidRPr="001B4641">
        <w:rPr>
          <w:sz w:val="20"/>
        </w:rPr>
        <w:t>therapies</w:t>
      </w:r>
      <w:r w:rsidR="001B4641">
        <w:rPr>
          <w:sz w:val="20"/>
        </w:rPr>
        <w:t>.</w:t>
      </w:r>
      <w:r w:rsidR="001B4641" w:rsidRPr="001B4641">
        <w:rPr>
          <w:sz w:val="20"/>
        </w:rPr>
        <w:t>If</w:t>
      </w:r>
      <w:proofErr w:type="spellEnd"/>
      <w:proofErr w:type="gramEnd"/>
      <w:r w:rsidR="001B4641" w:rsidRPr="001B4641">
        <w:rPr>
          <w:sz w:val="20"/>
        </w:rPr>
        <w:t xml:space="preserve"> a dose is missed, it should be taken as soon as the patient remembers on the same day of the missed dose. Patients</w:t>
      </w:r>
      <w:r w:rsidR="00DE0228">
        <w:rPr>
          <w:sz w:val="20"/>
        </w:rPr>
        <w:t xml:space="preserve"> </w:t>
      </w:r>
      <w:r w:rsidR="001B4641" w:rsidRPr="001B4641">
        <w:rPr>
          <w:sz w:val="20"/>
        </w:rPr>
        <w:t>should not take two doses of VERQUVO on the same day</w:t>
      </w:r>
      <w:r w:rsidR="00DE0228">
        <w:rPr>
          <w:b/>
          <w:bCs/>
          <w:sz w:val="20"/>
        </w:rPr>
        <w:t xml:space="preserve">. </w:t>
      </w:r>
      <w:r w:rsidR="00A93265" w:rsidRPr="00A93265">
        <w:rPr>
          <w:b/>
          <w:bCs/>
          <w:sz w:val="20"/>
        </w:rPr>
        <w:t>Contraindications</w:t>
      </w:r>
      <w:r w:rsidR="00A93265" w:rsidRPr="00A93265">
        <w:rPr>
          <w:sz w:val="20"/>
        </w:rPr>
        <w:t>:</w:t>
      </w:r>
      <w:r w:rsidR="00952902" w:rsidRPr="00952902">
        <w:rPr>
          <w:rFonts w:ascii="MyriadPro-Regular" w:eastAsia="MyriadPro-Regular" w:cs="MyriadPro-Regular"/>
          <w:color w:val="020202"/>
          <w:sz w:val="15"/>
          <w:szCs w:val="15"/>
        </w:rPr>
        <w:t xml:space="preserve"> </w:t>
      </w:r>
      <w:proofErr w:type="spellStart"/>
      <w:r w:rsidR="00952902" w:rsidRPr="00952902">
        <w:rPr>
          <w:sz w:val="20"/>
        </w:rPr>
        <w:t>Verquvo</w:t>
      </w:r>
      <w:proofErr w:type="spellEnd"/>
      <w:r w:rsidR="00952902" w:rsidRPr="00952902">
        <w:rPr>
          <w:sz w:val="20"/>
        </w:rPr>
        <w:t xml:space="preserve"> is contraindicated in patients with concomitant use of other soluble guanylate cyclase (sGC) stimulators, such</w:t>
      </w:r>
      <w:r w:rsidR="00952902">
        <w:rPr>
          <w:sz w:val="20"/>
        </w:rPr>
        <w:t xml:space="preserve"> </w:t>
      </w:r>
      <w:r w:rsidR="00952902" w:rsidRPr="00952902">
        <w:rPr>
          <w:sz w:val="20"/>
        </w:rPr>
        <w:t xml:space="preserve">as </w:t>
      </w:r>
      <w:proofErr w:type="spellStart"/>
      <w:r w:rsidR="00952902" w:rsidRPr="00952902">
        <w:rPr>
          <w:sz w:val="20"/>
        </w:rPr>
        <w:t>riociguat</w:t>
      </w:r>
      <w:proofErr w:type="spellEnd"/>
      <w:r w:rsidR="00A93265" w:rsidRPr="00A93265">
        <w:rPr>
          <w:sz w:val="20"/>
        </w:rPr>
        <w:t xml:space="preserve">. </w:t>
      </w:r>
      <w:r w:rsidR="00A93265" w:rsidRPr="00A93265">
        <w:rPr>
          <w:b/>
          <w:bCs/>
          <w:sz w:val="20"/>
        </w:rPr>
        <w:t>Warnings &amp; Precautions</w:t>
      </w:r>
      <w:r w:rsidR="00EB7070">
        <w:rPr>
          <w:b/>
          <w:bCs/>
          <w:sz w:val="20"/>
        </w:rPr>
        <w:t>:</w:t>
      </w:r>
      <w:r w:rsidR="00EB7070" w:rsidRPr="00EB7070">
        <w:t xml:space="preserve"> </w:t>
      </w:r>
      <w:r w:rsidR="00004F6A" w:rsidRPr="00004F6A">
        <w:rPr>
          <w:sz w:val="20"/>
          <w:szCs w:val="20"/>
        </w:rPr>
        <w:t>VERQUVO may cause symptomatic hypotension</w:t>
      </w:r>
      <w:r w:rsidR="00004F6A">
        <w:rPr>
          <w:sz w:val="20"/>
        </w:rPr>
        <w:t xml:space="preserve">. </w:t>
      </w:r>
      <w:r w:rsidR="00EB7070" w:rsidRPr="00EB7070">
        <w:rPr>
          <w:sz w:val="20"/>
        </w:rPr>
        <w:t>Concomitant use of VERQUVO and phosphodiesterase-5 (PDE-5) inhibitors, such as sildenafil, has not been studied</w:t>
      </w:r>
      <w:r w:rsidR="00EB7070">
        <w:rPr>
          <w:sz w:val="20"/>
        </w:rPr>
        <w:t xml:space="preserve"> </w:t>
      </w:r>
      <w:r w:rsidR="00EB7070" w:rsidRPr="00EB7070">
        <w:rPr>
          <w:sz w:val="20"/>
        </w:rPr>
        <w:t>in patients with heart failure and is therefore not recommended due to the potential increased risk for symptomatic</w:t>
      </w:r>
      <w:r w:rsidR="00EB7070">
        <w:rPr>
          <w:sz w:val="20"/>
        </w:rPr>
        <w:t xml:space="preserve"> </w:t>
      </w:r>
      <w:r w:rsidR="00EB7070" w:rsidRPr="00EB7070">
        <w:rPr>
          <w:sz w:val="20"/>
        </w:rPr>
        <w:t>hypotension</w:t>
      </w:r>
      <w:r w:rsidR="00EB7070">
        <w:rPr>
          <w:sz w:val="20"/>
        </w:rPr>
        <w:t xml:space="preserve"> </w:t>
      </w:r>
      <w:r w:rsidR="00A93265" w:rsidRPr="00A93265">
        <w:rPr>
          <w:b/>
          <w:bCs/>
          <w:sz w:val="20"/>
        </w:rPr>
        <w:t>Undesirable effects</w:t>
      </w:r>
      <w:r w:rsidR="00A93265" w:rsidRPr="00A93265">
        <w:rPr>
          <w:sz w:val="20"/>
        </w:rPr>
        <w:t xml:space="preserve">: Common: </w:t>
      </w:r>
      <w:r w:rsidR="00605C5A" w:rsidRPr="00605C5A">
        <w:rPr>
          <w:sz w:val="20"/>
        </w:rPr>
        <w:t>Anemia</w:t>
      </w:r>
      <w:r w:rsidR="00605C5A">
        <w:rPr>
          <w:sz w:val="20"/>
        </w:rPr>
        <w:t xml:space="preserve">, </w:t>
      </w:r>
      <w:r w:rsidR="00605C5A" w:rsidRPr="00605C5A">
        <w:rPr>
          <w:sz w:val="20"/>
        </w:rPr>
        <w:t>Nausea</w:t>
      </w:r>
      <w:r w:rsidR="00605C5A">
        <w:rPr>
          <w:sz w:val="20"/>
        </w:rPr>
        <w:t xml:space="preserve">, </w:t>
      </w:r>
      <w:r w:rsidR="00605C5A" w:rsidRPr="00605C5A">
        <w:rPr>
          <w:sz w:val="20"/>
        </w:rPr>
        <w:t>Dyspepsia</w:t>
      </w:r>
      <w:r w:rsidR="00605C5A">
        <w:rPr>
          <w:sz w:val="20"/>
        </w:rPr>
        <w:t xml:space="preserve">, </w:t>
      </w:r>
      <w:r w:rsidR="00605C5A" w:rsidRPr="00605C5A">
        <w:rPr>
          <w:sz w:val="20"/>
        </w:rPr>
        <w:t>Vomiting</w:t>
      </w:r>
      <w:r w:rsidR="00605C5A">
        <w:rPr>
          <w:sz w:val="20"/>
        </w:rPr>
        <w:t xml:space="preserve">, </w:t>
      </w:r>
      <w:r w:rsidR="00605C5A" w:rsidRPr="00605C5A">
        <w:rPr>
          <w:sz w:val="20"/>
        </w:rPr>
        <w:t>Gastroesophageal reflux disease Dizziness</w:t>
      </w:r>
      <w:r w:rsidR="00605C5A">
        <w:rPr>
          <w:sz w:val="20"/>
        </w:rPr>
        <w:t>,</w:t>
      </w:r>
      <w:r w:rsidR="00605C5A" w:rsidRPr="00605C5A">
        <w:rPr>
          <w:sz w:val="20"/>
        </w:rPr>
        <w:t xml:space="preserve"> Headache</w:t>
      </w:r>
      <w:r w:rsidR="00605C5A">
        <w:rPr>
          <w:sz w:val="20"/>
        </w:rPr>
        <w:t xml:space="preserve">, </w:t>
      </w:r>
      <w:r w:rsidR="00605C5A" w:rsidRPr="00605C5A">
        <w:rPr>
          <w:sz w:val="20"/>
        </w:rPr>
        <w:t>Hypotension</w:t>
      </w:r>
      <w:r w:rsidR="00605C5A">
        <w:rPr>
          <w:sz w:val="20"/>
        </w:rPr>
        <w:t xml:space="preserve">. </w:t>
      </w:r>
      <w:r w:rsidR="00A93265" w:rsidRPr="00A93265">
        <w:rPr>
          <w:sz w:val="20"/>
        </w:rPr>
        <w:t xml:space="preserve">For full listing of undesirable effects, please refer to the full product insert. </w:t>
      </w:r>
      <w:r w:rsidR="00A93265" w:rsidRPr="00A93265">
        <w:rPr>
          <w:b/>
          <w:bCs/>
          <w:sz w:val="20"/>
        </w:rPr>
        <w:t>For further prescribing information</w:t>
      </w:r>
      <w:r w:rsidR="00A93265" w:rsidRPr="00A93265">
        <w:rPr>
          <w:sz w:val="20"/>
        </w:rPr>
        <w:t>, please contact:</w:t>
      </w:r>
      <w:r w:rsidR="00D35F89" w:rsidRPr="00D35F89">
        <w:rPr>
          <w:sz w:val="20"/>
        </w:rPr>
        <w:t xml:space="preserve"> Bayer Pharma</w:t>
      </w:r>
      <w:r w:rsidR="00034C86">
        <w:rPr>
          <w:sz w:val="20"/>
        </w:rPr>
        <w:t>ceuticals</w:t>
      </w:r>
      <w:r w:rsidR="00D35F89" w:rsidRPr="00D35F89">
        <w:rPr>
          <w:sz w:val="20"/>
        </w:rPr>
        <w:t xml:space="preserve"> Private Limited, Bayer House, Central Avenue, Hiranandani Estate, Thane, Maharashtra, India Pin-400607.</w:t>
      </w:r>
      <w:r w:rsidR="00A93265" w:rsidRPr="00A93265">
        <w:rPr>
          <w:sz w:val="20"/>
        </w:rPr>
        <w:t xml:space="preserve">Email: </w:t>
      </w:r>
      <w:hyperlink r:id="rId6" w:history="1">
        <w:r w:rsidR="00981159" w:rsidRPr="00981159">
          <w:rPr>
            <w:rStyle w:val="Hyperlink"/>
            <w:sz w:val="20"/>
          </w:rPr>
          <w:t>medicalinfo.india@bayer.com</w:t>
        </w:r>
      </w:hyperlink>
      <w:r w:rsidR="00A93265" w:rsidRPr="00A93265">
        <w:rPr>
          <w:sz w:val="20"/>
        </w:rPr>
        <w:t xml:space="preserve">. </w:t>
      </w:r>
      <w:r w:rsidR="00A93265" w:rsidRPr="00A93265">
        <w:rPr>
          <w:b/>
          <w:bCs/>
          <w:sz w:val="20"/>
        </w:rPr>
        <w:t>Source</w:t>
      </w:r>
      <w:r w:rsidR="00A93265" w:rsidRPr="00A93265">
        <w:rPr>
          <w:sz w:val="20"/>
        </w:rPr>
        <w:t>:</w:t>
      </w:r>
      <w:r w:rsidR="00D35F89">
        <w:rPr>
          <w:sz w:val="20"/>
        </w:rPr>
        <w:t xml:space="preserve"> </w:t>
      </w:r>
      <w:r w:rsidR="009F1E9D" w:rsidRPr="009F1E9D">
        <w:rPr>
          <w:sz w:val="20"/>
        </w:rPr>
        <w:t>Version number: VE_2026_01 dated Jul 2026</w:t>
      </w:r>
      <w:r w:rsidR="009F1E9D">
        <w:rPr>
          <w:sz w:val="20"/>
        </w:rPr>
        <w:t xml:space="preserve">. </w:t>
      </w:r>
      <w:r w:rsidR="009F1E9D" w:rsidRPr="009F1E9D">
        <w:rPr>
          <w:sz w:val="20"/>
        </w:rPr>
        <w:t>Based on CCDS v 04 dated 11 Feb 2025 and US indication statement approved dated 19-Jan-2021</w:t>
      </w:r>
      <w:r w:rsidR="00F1620C">
        <w:rPr>
          <w:sz w:val="20"/>
        </w:rPr>
        <w:t xml:space="preserve">. </w:t>
      </w:r>
      <w:r w:rsidR="009F1E9D" w:rsidRPr="009F1E9D">
        <w:rPr>
          <w:sz w:val="20"/>
        </w:rPr>
        <w:t>Revision: Jul 2026</w:t>
      </w:r>
      <w:r w:rsidR="00A93265" w:rsidRPr="00605C5A">
        <w:rPr>
          <w:b/>
          <w:bCs/>
          <w:sz w:val="20"/>
        </w:rPr>
        <w:t>For the use of healthcare professionals only.</w:t>
      </w:r>
    </w:p>
    <w:sectPr w:rsidR="00D94F04" w:rsidRPr="00605C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2052D6" w14:textId="77777777" w:rsidR="00B978DD" w:rsidRDefault="00B978DD" w:rsidP="00A93265">
      <w:pPr>
        <w:spacing w:after="0" w:line="240" w:lineRule="auto"/>
      </w:pPr>
      <w:r>
        <w:separator/>
      </w:r>
    </w:p>
  </w:endnote>
  <w:endnote w:type="continuationSeparator" w:id="0">
    <w:p w14:paraId="6575368E" w14:textId="77777777" w:rsidR="00B978DD" w:rsidRDefault="00B978DD" w:rsidP="00A932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Pro-Regular">
    <w:altName w:val="Yu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75C803" w14:textId="77777777" w:rsidR="00B978DD" w:rsidRDefault="00B978DD" w:rsidP="00A93265">
      <w:pPr>
        <w:spacing w:after="0" w:line="240" w:lineRule="auto"/>
      </w:pPr>
      <w:r>
        <w:separator/>
      </w:r>
    </w:p>
  </w:footnote>
  <w:footnote w:type="continuationSeparator" w:id="0">
    <w:p w14:paraId="003EC4DE" w14:textId="77777777" w:rsidR="00B978DD" w:rsidRDefault="00B978DD" w:rsidP="00A9326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3265"/>
    <w:rsid w:val="00004F6A"/>
    <w:rsid w:val="00034C86"/>
    <w:rsid w:val="0005240E"/>
    <w:rsid w:val="001B4641"/>
    <w:rsid w:val="00215ED5"/>
    <w:rsid w:val="002C253E"/>
    <w:rsid w:val="0034639B"/>
    <w:rsid w:val="00373650"/>
    <w:rsid w:val="003C3060"/>
    <w:rsid w:val="003D67FD"/>
    <w:rsid w:val="004206CE"/>
    <w:rsid w:val="004628C1"/>
    <w:rsid w:val="00487E4D"/>
    <w:rsid w:val="00605C5A"/>
    <w:rsid w:val="006B769F"/>
    <w:rsid w:val="006D1818"/>
    <w:rsid w:val="00767124"/>
    <w:rsid w:val="007E5045"/>
    <w:rsid w:val="00833349"/>
    <w:rsid w:val="008C7F29"/>
    <w:rsid w:val="00952902"/>
    <w:rsid w:val="00981159"/>
    <w:rsid w:val="009F1E9D"/>
    <w:rsid w:val="00A93265"/>
    <w:rsid w:val="00B52BC6"/>
    <w:rsid w:val="00B978DD"/>
    <w:rsid w:val="00D35F89"/>
    <w:rsid w:val="00D94F04"/>
    <w:rsid w:val="00DA2D60"/>
    <w:rsid w:val="00DE0228"/>
    <w:rsid w:val="00DE7B20"/>
    <w:rsid w:val="00EB7070"/>
    <w:rsid w:val="00F1620C"/>
    <w:rsid w:val="00F43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3FA744"/>
  <w15:chartTrackingRefBased/>
  <w15:docId w15:val="{2CA777FE-11EA-459D-941C-BF822915C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6D1818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F4361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436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edicalinfo.india@bayer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383</Words>
  <Characters>2307</Characters>
  <Application>Microsoft Office Word</Application>
  <DocSecurity>0</DocSecurity>
  <Lines>25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Bayer</Company>
  <LinksUpToDate>false</LinksUpToDate>
  <CharactersWithSpaces>2689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Vinisha Saldanha</dc:creator>
  <cp:keywords/>
  <dc:description/>
  <cp:lastModifiedBy>Disha Gupta</cp:lastModifiedBy>
  <cp:revision>14</cp:revision>
  <dcterms:created xsi:type="dcterms:W3CDTF">2022-07-11T13:26:00Z</dcterms:created>
  <dcterms:modified xsi:type="dcterms:W3CDTF">2026-08-17T04:32:00Z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f850223-87a8-40c3-9eb2-432606efca2a_Enabled">
    <vt:lpwstr>true</vt:lpwstr>
  </property>
  <property fmtid="{D5CDD505-2E9C-101B-9397-08002B2CF9AE}" pid="3" name="MSIP_Label_7f850223-87a8-40c3-9eb2-432606efca2a_SetDate">
    <vt:lpwstr>2022-07-11T05:51:21Z</vt:lpwstr>
  </property>
  <property fmtid="{D5CDD505-2E9C-101B-9397-08002B2CF9AE}" pid="4" name="MSIP_Label_7f850223-87a8-40c3-9eb2-432606efca2a_Method">
    <vt:lpwstr>Standard</vt:lpwstr>
  </property>
  <property fmtid="{D5CDD505-2E9C-101B-9397-08002B2CF9AE}" pid="5" name="MSIP_Label_7f850223-87a8-40c3-9eb2-432606efca2a_Name">
    <vt:lpwstr>7f850223-87a8-40c3-9eb2-432606efca2a</vt:lpwstr>
  </property>
  <property fmtid="{D5CDD505-2E9C-101B-9397-08002B2CF9AE}" pid="6" name="MSIP_Label_7f850223-87a8-40c3-9eb2-432606efca2a_SiteId">
    <vt:lpwstr>fcb2b37b-5da0-466b-9b83-0014b67a7c78</vt:lpwstr>
  </property>
  <property fmtid="{D5CDD505-2E9C-101B-9397-08002B2CF9AE}" pid="7" name="MSIP_Label_7f850223-87a8-40c3-9eb2-432606efca2a_ContentBits">
    <vt:lpwstr>0</vt:lpwstr>
  </property>
</Properties>
</file>